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DAC8" w14:textId="24F5F9EE" w:rsidR="0098454D" w:rsidRDefault="0098454D" w:rsidP="0098454D">
      <w:pPr>
        <w:shd w:val="clear" w:color="auto" w:fill="FFFFFF"/>
        <w:spacing w:before="120" w:after="120" w:line="304" w:lineRule="atLeast"/>
        <w:rPr>
          <w:rFonts w:ascii="Arial" w:eastAsia="Times New Roman" w:hAnsi="Arial" w:cs="Arial"/>
          <w:color w:val="252525"/>
          <w:sz w:val="19"/>
          <w:szCs w:val="19"/>
        </w:rPr>
      </w:pPr>
      <w:r>
        <w:rPr>
          <w:rFonts w:ascii="Arial" w:eastAsia="Times New Roman" w:hAnsi="Arial" w:cs="Arial"/>
          <w:b/>
          <w:bCs/>
          <w:noProof/>
          <w:color w:val="252525"/>
          <w:sz w:val="19"/>
          <w:szCs w:val="19"/>
        </w:rPr>
        <w:drawing>
          <wp:anchor distT="0" distB="0" distL="114300" distR="114300" simplePos="0" relativeHeight="251658240" behindDoc="0" locked="0" layoutInCell="1" allowOverlap="1" wp14:anchorId="081ABEC7" wp14:editId="05159F41">
            <wp:simplePos x="0" y="0"/>
            <wp:positionH relativeFrom="column">
              <wp:posOffset>19050</wp:posOffset>
            </wp:positionH>
            <wp:positionV relativeFrom="paragraph">
              <wp:posOffset>77638</wp:posOffset>
            </wp:positionV>
            <wp:extent cx="722187" cy="612475"/>
            <wp:effectExtent l="19050" t="0" r="1713"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2187" cy="612475"/>
                    </a:xfrm>
                    <a:prstGeom prst="rect">
                      <a:avLst/>
                    </a:prstGeom>
                    <a:noFill/>
                    <a:ln w="9525">
                      <a:noFill/>
                      <a:miter lim="800000"/>
                      <a:headEnd/>
                      <a:tailEnd/>
                    </a:ln>
                  </pic:spPr>
                </pic:pic>
              </a:graphicData>
            </a:graphic>
          </wp:anchor>
        </w:drawing>
      </w:r>
      <w:r>
        <w:rPr>
          <w:rFonts w:ascii="Arial" w:eastAsia="Times New Roman" w:hAnsi="Arial" w:cs="Arial"/>
          <w:b/>
          <w:bCs/>
          <w:color w:val="252525"/>
          <w:sz w:val="19"/>
          <w:szCs w:val="19"/>
        </w:rPr>
        <w:t xml:space="preserve"> </w:t>
      </w:r>
      <w:r w:rsidRPr="0098454D">
        <w:rPr>
          <w:rFonts w:ascii="Arial" w:eastAsia="Times New Roman" w:hAnsi="Arial" w:cs="Arial"/>
          <w:b/>
          <w:bCs/>
          <w:color w:val="252525"/>
          <w:sz w:val="19"/>
          <w:szCs w:val="19"/>
        </w:rPr>
        <w:t>Cerner Corporation</w:t>
      </w:r>
      <w:r w:rsidRPr="0098454D">
        <w:rPr>
          <w:rFonts w:ascii="Arial" w:eastAsia="Times New Roman" w:hAnsi="Arial" w:cs="Arial"/>
          <w:color w:val="252525"/>
          <w:sz w:val="19"/>
        </w:rPr>
        <w:t> </w:t>
      </w:r>
      <w:r w:rsidRPr="0098454D">
        <w:rPr>
          <w:rFonts w:ascii="Arial" w:eastAsia="Times New Roman" w:hAnsi="Arial" w:cs="Arial"/>
          <w:color w:val="252525"/>
          <w:sz w:val="19"/>
          <w:szCs w:val="19"/>
        </w:rPr>
        <w:t>is a supplier of</w:t>
      </w:r>
      <w:r w:rsidRPr="0098454D">
        <w:rPr>
          <w:rFonts w:ascii="Arial" w:eastAsia="Times New Roman" w:hAnsi="Arial" w:cs="Arial"/>
          <w:color w:val="252525"/>
          <w:sz w:val="19"/>
        </w:rPr>
        <w:t> </w:t>
      </w:r>
      <w:r w:rsidRPr="0098454D">
        <w:rPr>
          <w:rFonts w:ascii="Arial" w:eastAsia="Times New Roman" w:hAnsi="Arial" w:cs="Arial"/>
          <w:color w:val="252525"/>
          <w:sz w:val="19"/>
          <w:szCs w:val="19"/>
        </w:rPr>
        <w:t>health information technology (HIT) solutions, services, devices</w:t>
      </w:r>
      <w:r w:rsidR="00AA7A66">
        <w:rPr>
          <w:rFonts w:ascii="Arial" w:eastAsia="Times New Roman" w:hAnsi="Arial" w:cs="Arial"/>
          <w:color w:val="252525"/>
          <w:sz w:val="19"/>
          <w:szCs w:val="19"/>
        </w:rPr>
        <w:t>,</w:t>
      </w:r>
      <w:r w:rsidRPr="0098454D">
        <w:rPr>
          <w:rFonts w:ascii="Arial" w:eastAsia="Times New Roman" w:hAnsi="Arial" w:cs="Arial"/>
          <w:color w:val="252525"/>
          <w:sz w:val="19"/>
          <w:szCs w:val="19"/>
        </w:rPr>
        <w:t xml:space="preserve"> and hardware. As of April 2015</w:t>
      </w:r>
      <w:r w:rsidR="00AA7A66">
        <w:rPr>
          <w:rFonts w:ascii="Arial" w:eastAsia="Times New Roman" w:hAnsi="Arial" w:cs="Arial"/>
          <w:color w:val="252525"/>
          <w:sz w:val="19"/>
          <w:szCs w:val="19"/>
        </w:rPr>
        <w:t>,</w:t>
      </w:r>
      <w:r w:rsidRPr="0098454D">
        <w:rPr>
          <w:rFonts w:ascii="Arial" w:eastAsia="Times New Roman" w:hAnsi="Arial" w:cs="Arial"/>
          <w:color w:val="252525"/>
          <w:sz w:val="19"/>
          <w:szCs w:val="19"/>
        </w:rPr>
        <w:t xml:space="preserve"> its products were in use in approximately 18,000 facilities around the world</w:t>
      </w:r>
      <w:r w:rsidR="00AA7A66">
        <w:rPr>
          <w:rFonts w:ascii="Arial" w:eastAsia="Times New Roman" w:hAnsi="Arial" w:cs="Arial"/>
          <w:color w:val="252525"/>
          <w:sz w:val="19"/>
          <w:szCs w:val="19"/>
        </w:rPr>
        <w:t>,</w:t>
      </w:r>
      <w:r w:rsidRPr="0098454D">
        <w:rPr>
          <w:rFonts w:ascii="Arial" w:eastAsia="Times New Roman" w:hAnsi="Arial" w:cs="Arial"/>
          <w:color w:val="252525"/>
          <w:sz w:val="19"/>
        </w:rPr>
        <w:t> </w:t>
      </w:r>
      <w:r w:rsidRPr="0098454D">
        <w:rPr>
          <w:rFonts w:ascii="Arial" w:eastAsia="Times New Roman" w:hAnsi="Arial" w:cs="Arial"/>
          <w:color w:val="252525"/>
          <w:sz w:val="19"/>
          <w:szCs w:val="19"/>
        </w:rPr>
        <w:t xml:space="preserve">and the company had about 22,000 employees globally. </w:t>
      </w:r>
    </w:p>
    <w:p w14:paraId="4F7BF642" w14:textId="77777777" w:rsidR="00352A3A" w:rsidRDefault="00352A3A" w:rsidP="0098454D">
      <w:pPr>
        <w:shd w:val="clear" w:color="auto" w:fill="FFFFFF"/>
        <w:spacing w:before="120" w:after="120" w:line="304" w:lineRule="atLeast"/>
        <w:rPr>
          <w:rFonts w:ascii="Arial" w:eastAsia="Times New Roman" w:hAnsi="Arial" w:cs="Arial"/>
          <w:color w:val="252525"/>
          <w:sz w:val="19"/>
          <w:szCs w:val="19"/>
        </w:rPr>
      </w:pPr>
      <w:r>
        <w:rPr>
          <w:rFonts w:ascii="Arial" w:eastAsia="Times New Roman" w:hAnsi="Arial" w:cs="Arial"/>
          <w:color w:val="252525"/>
          <w:sz w:val="19"/>
          <w:szCs w:val="19"/>
        </w:rPr>
        <w:t xml:space="preserve">According to KLAS, as of the end of 2015, Cerner accounted for 23.7% of the acute care EMR market share. </w:t>
      </w:r>
    </w:p>
    <w:p w14:paraId="61A32661" w14:textId="77777777" w:rsidR="0098454D" w:rsidRDefault="00352A3A" w:rsidP="00352A3A">
      <w:pPr>
        <w:shd w:val="clear" w:color="auto" w:fill="FFFFFF"/>
        <w:spacing w:before="120" w:after="120" w:line="304" w:lineRule="atLeast"/>
        <w:jc w:val="center"/>
        <w:rPr>
          <w:rFonts w:ascii="Arial" w:eastAsia="Times New Roman" w:hAnsi="Arial" w:cs="Arial"/>
          <w:color w:val="252525"/>
          <w:sz w:val="19"/>
          <w:szCs w:val="19"/>
        </w:rPr>
      </w:pPr>
      <w:r>
        <w:rPr>
          <w:rFonts w:ascii="Arial" w:eastAsia="Times New Roman" w:hAnsi="Arial" w:cs="Arial"/>
          <w:noProof/>
          <w:color w:val="252525"/>
          <w:sz w:val="19"/>
          <w:szCs w:val="19"/>
        </w:rPr>
        <w:drawing>
          <wp:inline distT="0" distB="0" distL="0" distR="0" wp14:anchorId="298B349D" wp14:editId="5C6E471F">
            <wp:extent cx="3198603" cy="3077602"/>
            <wp:effectExtent l="19050" t="0" r="1797" b="0"/>
            <wp:docPr id="3" name="Picture 2" descr="market 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 share.jpg"/>
                    <pic:cNvPicPr/>
                  </pic:nvPicPr>
                  <pic:blipFill>
                    <a:blip r:embed="rId9" cstate="print"/>
                    <a:stretch>
                      <a:fillRect/>
                    </a:stretch>
                  </pic:blipFill>
                  <pic:spPr>
                    <a:xfrm>
                      <a:off x="0" y="0"/>
                      <a:ext cx="3204718" cy="3083485"/>
                    </a:xfrm>
                    <a:prstGeom prst="rect">
                      <a:avLst/>
                    </a:prstGeom>
                  </pic:spPr>
                </pic:pic>
              </a:graphicData>
            </a:graphic>
          </wp:inline>
        </w:drawing>
      </w:r>
    </w:p>
    <w:p w14:paraId="4B04405D" w14:textId="77777777" w:rsidR="00352A3A" w:rsidRDefault="00352A3A" w:rsidP="005E038A">
      <w:pPr>
        <w:shd w:val="clear" w:color="auto" w:fill="FFFFFF"/>
        <w:spacing w:before="120" w:after="120" w:line="304" w:lineRule="atLeast"/>
        <w:ind w:left="2160"/>
        <w:rPr>
          <w:rFonts w:ascii="Arial" w:eastAsia="Times New Roman" w:hAnsi="Arial" w:cs="Arial"/>
          <w:color w:val="252525"/>
          <w:sz w:val="19"/>
          <w:szCs w:val="19"/>
        </w:rPr>
      </w:pPr>
      <w:r>
        <w:rPr>
          <w:rFonts w:ascii="Arial" w:eastAsia="Times New Roman" w:hAnsi="Arial" w:cs="Arial"/>
          <w:color w:val="252525"/>
          <w:sz w:val="19"/>
          <w:szCs w:val="19"/>
        </w:rPr>
        <w:t>Source: KLAS 2016</w:t>
      </w:r>
    </w:p>
    <w:p w14:paraId="7D26038D" w14:textId="2963D965" w:rsidR="0098454D" w:rsidRDefault="004C76AA" w:rsidP="0098454D">
      <w:pPr>
        <w:shd w:val="clear" w:color="auto" w:fill="FFFFFF"/>
        <w:spacing w:before="120" w:after="120" w:line="304" w:lineRule="atLeast"/>
        <w:rPr>
          <w:rFonts w:ascii="Arial" w:eastAsia="Times New Roman" w:hAnsi="Arial" w:cs="Arial"/>
          <w:color w:val="252525"/>
          <w:sz w:val="19"/>
          <w:szCs w:val="19"/>
        </w:rPr>
      </w:pPr>
      <w:r>
        <w:rPr>
          <w:rFonts w:ascii="Arial" w:eastAsia="Times New Roman" w:hAnsi="Arial" w:cs="Arial"/>
          <w:color w:val="252525"/>
          <w:sz w:val="19"/>
          <w:szCs w:val="19"/>
        </w:rPr>
        <w:t>They also have just over 12% of the ambulatory EMR market</w:t>
      </w:r>
      <w:r w:rsidR="00AA7A66">
        <w:rPr>
          <w:rFonts w:ascii="Arial" w:eastAsia="Times New Roman" w:hAnsi="Arial" w:cs="Arial"/>
          <w:color w:val="252525"/>
          <w:sz w:val="19"/>
          <w:szCs w:val="19"/>
        </w:rPr>
        <w:t>,</w:t>
      </w:r>
      <w:r>
        <w:rPr>
          <w:rFonts w:ascii="Arial" w:eastAsia="Times New Roman" w:hAnsi="Arial" w:cs="Arial"/>
          <w:color w:val="252525"/>
          <w:sz w:val="19"/>
          <w:szCs w:val="19"/>
        </w:rPr>
        <w:t xml:space="preserve"> according to 2015 Peer60 survey.</w:t>
      </w:r>
      <w:r w:rsidR="00434582">
        <w:rPr>
          <w:rStyle w:val="FootnoteReference"/>
          <w:rFonts w:ascii="Arial" w:eastAsia="Times New Roman" w:hAnsi="Arial" w:cs="Arial"/>
          <w:color w:val="252525"/>
          <w:sz w:val="19"/>
          <w:szCs w:val="19"/>
        </w:rPr>
        <w:footnoteReference w:id="1"/>
      </w:r>
    </w:p>
    <w:p w14:paraId="36633B46" w14:textId="77777777" w:rsidR="000D4A8B" w:rsidRDefault="000D4A8B" w:rsidP="0098454D">
      <w:pPr>
        <w:shd w:val="clear" w:color="auto" w:fill="FFFFFF"/>
        <w:spacing w:before="120" w:after="120" w:line="304" w:lineRule="atLeast"/>
        <w:rPr>
          <w:rFonts w:ascii="Arial" w:eastAsia="Times New Roman" w:hAnsi="Arial" w:cs="Arial"/>
          <w:color w:val="252525"/>
          <w:sz w:val="19"/>
          <w:szCs w:val="19"/>
        </w:rPr>
      </w:pPr>
      <w:r>
        <w:rPr>
          <w:rFonts w:ascii="Arial" w:eastAsia="Times New Roman" w:hAnsi="Arial" w:cs="Arial"/>
          <w:color w:val="252525"/>
          <w:sz w:val="19"/>
          <w:szCs w:val="19"/>
        </w:rPr>
        <w:t xml:space="preserve">Cerner’s EMR was highly rated by KLAS for its </w:t>
      </w:r>
      <w:r w:rsidRPr="00BD2928">
        <w:rPr>
          <w:rFonts w:ascii="Arial" w:eastAsia="Times New Roman" w:hAnsi="Arial" w:cs="Arial"/>
          <w:color w:val="252525"/>
          <w:sz w:val="19"/>
          <w:szCs w:val="19"/>
        </w:rPr>
        <w:t>interoperability, offering strong tools (CEP) for building complex connections and leads out with standards and collaborations.</w:t>
      </w:r>
      <w:r w:rsidRPr="00BD2928">
        <w:rPr>
          <w:rFonts w:ascii="Arial" w:eastAsia="Times New Roman" w:hAnsi="Arial" w:cs="Arial"/>
          <w:color w:val="252525"/>
          <w:sz w:val="19"/>
          <w:szCs w:val="19"/>
        </w:rPr>
        <w:footnoteReference w:id="2"/>
      </w:r>
      <w:r w:rsidRPr="00BD2928">
        <w:rPr>
          <w:rFonts w:ascii="Arial" w:eastAsia="Times New Roman" w:hAnsi="Arial" w:cs="Arial"/>
          <w:color w:val="252525"/>
          <w:sz w:val="19"/>
          <w:szCs w:val="19"/>
        </w:rPr>
        <w:t xml:space="preserve"> </w:t>
      </w:r>
      <w:r w:rsidR="00E376FC" w:rsidRPr="00BD2928">
        <w:rPr>
          <w:rFonts w:ascii="Arial" w:eastAsia="Times New Roman" w:hAnsi="Arial" w:cs="Arial"/>
          <w:color w:val="252525"/>
          <w:sz w:val="19"/>
          <w:szCs w:val="19"/>
        </w:rPr>
        <w:t>It also offers a standard look and feel across both acute care and ambulatory settings</w:t>
      </w:r>
      <w:r w:rsidR="00BD2928">
        <w:rPr>
          <w:rFonts w:ascii="Arial" w:eastAsia="Times New Roman" w:hAnsi="Arial" w:cs="Arial"/>
          <w:color w:val="252525"/>
          <w:sz w:val="19"/>
          <w:szCs w:val="19"/>
        </w:rPr>
        <w:t>.</w:t>
      </w:r>
    </w:p>
    <w:p w14:paraId="17E5BA6F" w14:textId="77777777" w:rsidR="00D303B7" w:rsidRDefault="00D303B7" w:rsidP="00D303B7">
      <w:pPr>
        <w:shd w:val="clear" w:color="auto" w:fill="FFFFFF"/>
        <w:spacing w:before="120" w:after="120" w:line="304" w:lineRule="atLeast"/>
        <w:jc w:val="center"/>
        <w:rPr>
          <w:rFonts w:ascii="Arial" w:eastAsia="Times New Roman" w:hAnsi="Arial" w:cs="Arial"/>
          <w:color w:val="252525"/>
          <w:sz w:val="19"/>
          <w:szCs w:val="19"/>
        </w:rPr>
      </w:pPr>
      <w:r>
        <w:rPr>
          <w:rFonts w:ascii="Arial" w:eastAsia="Times New Roman" w:hAnsi="Arial" w:cs="Arial"/>
          <w:noProof/>
          <w:color w:val="252525"/>
          <w:sz w:val="19"/>
          <w:szCs w:val="19"/>
        </w:rPr>
        <w:lastRenderedPageBreak/>
        <w:drawing>
          <wp:inline distT="0" distB="0" distL="0" distR="0" wp14:anchorId="0DAB532C" wp14:editId="00A26979">
            <wp:extent cx="4147508" cy="2881865"/>
            <wp:effectExtent l="19050" t="0" r="539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150065" cy="2883642"/>
                    </a:xfrm>
                    <a:prstGeom prst="rect">
                      <a:avLst/>
                    </a:prstGeom>
                    <a:noFill/>
                    <a:ln w="9525">
                      <a:noFill/>
                      <a:miter lim="800000"/>
                      <a:headEnd/>
                      <a:tailEnd/>
                    </a:ln>
                  </pic:spPr>
                </pic:pic>
              </a:graphicData>
            </a:graphic>
          </wp:inline>
        </w:drawing>
      </w:r>
    </w:p>
    <w:p w14:paraId="632DEB2B" w14:textId="77777777" w:rsidR="00D303B7" w:rsidRDefault="00D303B7" w:rsidP="00D303B7">
      <w:pPr>
        <w:shd w:val="clear" w:color="auto" w:fill="FFFFFF"/>
        <w:spacing w:before="120" w:after="120" w:line="304" w:lineRule="atLeast"/>
        <w:ind w:left="1440"/>
        <w:rPr>
          <w:rFonts w:ascii="Arial" w:eastAsia="Times New Roman" w:hAnsi="Arial" w:cs="Arial"/>
          <w:color w:val="252525"/>
          <w:sz w:val="19"/>
          <w:szCs w:val="19"/>
        </w:rPr>
      </w:pPr>
      <w:r>
        <w:rPr>
          <w:rFonts w:ascii="Arial" w:eastAsia="Times New Roman" w:hAnsi="Arial" w:cs="Arial"/>
          <w:noProof/>
          <w:color w:val="252525"/>
          <w:sz w:val="19"/>
          <w:szCs w:val="19"/>
        </w:rPr>
        <w:drawing>
          <wp:inline distT="0" distB="0" distL="0" distR="0" wp14:anchorId="71B4FA0E" wp14:editId="46E9E6A5">
            <wp:extent cx="4097085" cy="234638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098660" cy="2347287"/>
                    </a:xfrm>
                    <a:prstGeom prst="rect">
                      <a:avLst/>
                    </a:prstGeom>
                    <a:noFill/>
                    <a:ln w="9525">
                      <a:noFill/>
                      <a:miter lim="800000"/>
                      <a:headEnd/>
                      <a:tailEnd/>
                    </a:ln>
                  </pic:spPr>
                </pic:pic>
              </a:graphicData>
            </a:graphic>
          </wp:inline>
        </w:drawing>
      </w:r>
    </w:p>
    <w:p w14:paraId="73A3CF52" w14:textId="77777777" w:rsidR="00D303B7" w:rsidRDefault="00D303B7" w:rsidP="00D303B7">
      <w:pPr>
        <w:shd w:val="clear" w:color="auto" w:fill="FFFFFF"/>
        <w:spacing w:before="120" w:after="120" w:line="304" w:lineRule="atLeast"/>
        <w:ind w:left="1440"/>
        <w:rPr>
          <w:rFonts w:ascii="Arial" w:eastAsia="Times New Roman" w:hAnsi="Arial" w:cs="Arial"/>
          <w:color w:val="252525"/>
          <w:sz w:val="19"/>
          <w:szCs w:val="19"/>
        </w:rPr>
      </w:pPr>
      <w:r>
        <w:rPr>
          <w:rFonts w:ascii="Arial" w:eastAsia="Times New Roman" w:hAnsi="Arial" w:cs="Arial"/>
          <w:color w:val="252525"/>
          <w:sz w:val="19"/>
          <w:szCs w:val="19"/>
        </w:rPr>
        <w:t>Source: KLAS 2016</w:t>
      </w:r>
    </w:p>
    <w:p w14:paraId="6E5582E9" w14:textId="78CAB4B7" w:rsidR="00434582" w:rsidRDefault="00641B2F" w:rsidP="0098454D">
      <w:pPr>
        <w:shd w:val="clear" w:color="auto" w:fill="FFFFFF"/>
        <w:spacing w:before="120" w:after="120" w:line="304" w:lineRule="atLeast"/>
        <w:rPr>
          <w:rFonts w:ascii="Arial" w:eastAsia="Times New Roman" w:hAnsi="Arial" w:cs="Arial"/>
          <w:color w:val="252525"/>
          <w:sz w:val="19"/>
          <w:szCs w:val="19"/>
        </w:rPr>
      </w:pPr>
      <w:r w:rsidRPr="009B2ACC">
        <w:rPr>
          <w:rFonts w:ascii="Arial" w:eastAsia="Times New Roman" w:hAnsi="Arial" w:cs="Arial"/>
          <w:color w:val="252525"/>
          <w:sz w:val="19"/>
          <w:szCs w:val="19"/>
        </w:rPr>
        <w:t>In addition to Cerner’s EMR product,</w:t>
      </w:r>
      <w:r w:rsidR="009B2ACC" w:rsidRPr="009B2ACC">
        <w:rPr>
          <w:rFonts w:ascii="Arial" w:eastAsia="Times New Roman" w:hAnsi="Arial" w:cs="Arial"/>
          <w:color w:val="252525"/>
          <w:sz w:val="19"/>
          <w:szCs w:val="19"/>
        </w:rPr>
        <w:t xml:space="preserve"> they offer solutions for revenue cycle, clinical imaging, ECM, medical devices, pharma, supply chain</w:t>
      </w:r>
      <w:r w:rsidR="00206885">
        <w:rPr>
          <w:rFonts w:ascii="Arial" w:eastAsia="Times New Roman" w:hAnsi="Arial" w:cs="Arial"/>
          <w:color w:val="252525"/>
          <w:sz w:val="19"/>
          <w:szCs w:val="19"/>
        </w:rPr>
        <w:t>,</w:t>
      </w:r>
      <w:r w:rsidR="009B2ACC" w:rsidRPr="009B2ACC">
        <w:rPr>
          <w:rFonts w:ascii="Arial" w:eastAsia="Times New Roman" w:hAnsi="Arial" w:cs="Arial"/>
          <w:color w:val="252525"/>
          <w:sz w:val="19"/>
          <w:szCs w:val="19"/>
        </w:rPr>
        <w:t xml:space="preserve"> </w:t>
      </w:r>
      <w:hyperlink r:id="rId12" w:history="1">
        <w:r w:rsidR="009B2ACC" w:rsidRPr="009B2ACC">
          <w:rPr>
            <w:rFonts w:ascii="Arial" w:eastAsia="Times New Roman" w:hAnsi="Arial" w:cs="Arial"/>
            <w:color w:val="252525"/>
            <w:sz w:val="19"/>
            <w:szCs w:val="19"/>
          </w:rPr>
          <w:t>workforce</w:t>
        </w:r>
      </w:hyperlink>
      <w:r w:rsidR="009B2ACC" w:rsidRPr="009B2ACC">
        <w:rPr>
          <w:rFonts w:ascii="Arial" w:eastAsia="Times New Roman" w:hAnsi="Arial" w:cs="Arial"/>
          <w:color w:val="252525"/>
          <w:sz w:val="19"/>
          <w:szCs w:val="19"/>
        </w:rPr>
        <w:t xml:space="preserve"> managemen</w:t>
      </w:r>
      <w:r w:rsidR="00206885">
        <w:rPr>
          <w:rFonts w:ascii="Arial" w:eastAsia="Times New Roman" w:hAnsi="Arial" w:cs="Arial"/>
          <w:color w:val="252525"/>
          <w:sz w:val="19"/>
          <w:szCs w:val="19"/>
        </w:rPr>
        <w:t>t</w:t>
      </w:r>
      <w:r w:rsidR="0075499E">
        <w:rPr>
          <w:rFonts w:ascii="Arial" w:eastAsia="Times New Roman" w:hAnsi="Arial" w:cs="Arial"/>
          <w:color w:val="252525"/>
          <w:sz w:val="19"/>
          <w:szCs w:val="19"/>
        </w:rPr>
        <w:t>,</w:t>
      </w:r>
      <w:r w:rsidR="00206885">
        <w:rPr>
          <w:rFonts w:ascii="Arial" w:eastAsia="Times New Roman" w:hAnsi="Arial" w:cs="Arial"/>
          <w:color w:val="252525"/>
          <w:sz w:val="19"/>
          <w:szCs w:val="19"/>
        </w:rPr>
        <w:t xml:space="preserve"> and hosting services. </w:t>
      </w:r>
      <w:r w:rsidR="00206885">
        <w:rPr>
          <w:rFonts w:ascii="Arial" w:hAnsi="Arial" w:cs="Arial"/>
          <w:color w:val="252525"/>
          <w:sz w:val="19"/>
          <w:szCs w:val="19"/>
          <w:shd w:val="clear" w:color="auto" w:fill="FFFFFF"/>
        </w:rPr>
        <w:t>In February of 2015, Cerner finalized the purchase of Siemens Health Services, the health information technology business of Germany’s</w:t>
      </w:r>
      <w:r w:rsidR="00206885">
        <w:rPr>
          <w:rStyle w:val="apple-converted-space"/>
          <w:rFonts w:ascii="Arial" w:hAnsi="Arial" w:cs="Arial"/>
          <w:color w:val="252525"/>
          <w:sz w:val="19"/>
          <w:szCs w:val="19"/>
          <w:shd w:val="clear" w:color="auto" w:fill="FFFFFF"/>
        </w:rPr>
        <w:t> </w:t>
      </w:r>
      <w:r w:rsidR="00206885" w:rsidRPr="00206885">
        <w:rPr>
          <w:rFonts w:ascii="Arial" w:hAnsi="Arial" w:cs="Arial"/>
          <w:sz w:val="19"/>
          <w:szCs w:val="19"/>
          <w:shd w:val="clear" w:color="auto" w:fill="FFFFFF"/>
        </w:rPr>
        <w:t>Siemens AG</w:t>
      </w:r>
      <w:r w:rsidR="00206885">
        <w:rPr>
          <w:rFonts w:ascii="Arial" w:hAnsi="Arial" w:cs="Arial"/>
          <w:color w:val="252525"/>
          <w:sz w:val="19"/>
          <w:szCs w:val="19"/>
          <w:shd w:val="clear" w:color="auto" w:fill="FFFFFF"/>
        </w:rPr>
        <w:t>, for $1.3 billion.</w:t>
      </w:r>
      <w:r w:rsidR="00206885">
        <w:rPr>
          <w:rFonts w:ascii="Arial" w:eastAsia="Times New Roman" w:hAnsi="Arial" w:cs="Arial"/>
          <w:color w:val="252525"/>
          <w:sz w:val="19"/>
          <w:szCs w:val="19"/>
        </w:rPr>
        <w:t xml:space="preserve"> </w:t>
      </w:r>
      <w:r w:rsidR="00BD2928">
        <w:rPr>
          <w:rFonts w:ascii="Arial" w:eastAsia="Times New Roman" w:hAnsi="Arial" w:cs="Arial"/>
          <w:color w:val="252525"/>
          <w:sz w:val="19"/>
          <w:szCs w:val="19"/>
        </w:rPr>
        <w:t xml:space="preserve">They are also a member of the Commonwell alliance, a </w:t>
      </w:r>
      <w:r w:rsidR="00BD2928" w:rsidRPr="00BD2928">
        <w:rPr>
          <w:rFonts w:ascii="Arial" w:eastAsia="Times New Roman" w:hAnsi="Arial" w:cs="Arial"/>
          <w:color w:val="252525"/>
          <w:sz w:val="19"/>
          <w:szCs w:val="19"/>
        </w:rPr>
        <w:t>not-for-profit trade association with the believes that health data should be available to individuals and providers regardless of where care occurs, and that provider access to this data must be built-in health IT at a reasonable cost for use by a broad range of health care providers.</w:t>
      </w:r>
    </w:p>
    <w:p w14:paraId="618C03E0" w14:textId="6863F24E" w:rsidR="0098454D" w:rsidRPr="0098454D" w:rsidRDefault="00AA1C1B" w:rsidP="0098454D">
      <w:pPr>
        <w:shd w:val="clear" w:color="auto" w:fill="FFFFFF"/>
        <w:spacing w:before="120" w:after="120" w:line="304" w:lineRule="atLeast"/>
        <w:rPr>
          <w:rFonts w:ascii="Arial" w:eastAsia="Times New Roman" w:hAnsi="Arial" w:cs="Arial"/>
          <w:color w:val="252525"/>
          <w:sz w:val="19"/>
          <w:szCs w:val="19"/>
        </w:rPr>
      </w:pPr>
      <w:r>
        <w:rPr>
          <w:rFonts w:ascii="Arial" w:eastAsia="Times New Roman" w:hAnsi="Arial" w:cs="Arial"/>
          <w:color w:val="252525"/>
          <w:sz w:val="19"/>
          <w:szCs w:val="19"/>
        </w:rPr>
        <w:t>Despite Cerner’s success, including a 10</w:t>
      </w:r>
      <w:r w:rsidR="0075499E">
        <w:rPr>
          <w:rFonts w:ascii="Arial" w:eastAsia="Times New Roman" w:hAnsi="Arial" w:cs="Arial"/>
          <w:color w:val="252525"/>
          <w:sz w:val="19"/>
          <w:szCs w:val="19"/>
        </w:rPr>
        <w:t>-</w:t>
      </w:r>
      <w:r>
        <w:rPr>
          <w:rFonts w:ascii="Arial" w:eastAsia="Times New Roman" w:hAnsi="Arial" w:cs="Arial"/>
          <w:color w:val="252525"/>
          <w:sz w:val="19"/>
          <w:szCs w:val="19"/>
        </w:rPr>
        <w:t xml:space="preserve">year contract awarded in 2015 to overhaul and manage EHRs for the Department of Defense, there have been controversies </w:t>
      </w:r>
      <w:r w:rsidR="00206885">
        <w:rPr>
          <w:rFonts w:ascii="Arial" w:eastAsia="Times New Roman" w:hAnsi="Arial" w:cs="Arial"/>
          <w:color w:val="252525"/>
          <w:sz w:val="19"/>
          <w:szCs w:val="19"/>
        </w:rPr>
        <w:t xml:space="preserve">and litigation </w:t>
      </w:r>
      <w:r>
        <w:rPr>
          <w:rFonts w:ascii="Arial" w:eastAsia="Times New Roman" w:hAnsi="Arial" w:cs="Arial"/>
          <w:color w:val="252525"/>
          <w:sz w:val="19"/>
          <w:szCs w:val="19"/>
        </w:rPr>
        <w:t xml:space="preserve">along the way. This includes </w:t>
      </w:r>
      <w:r w:rsidR="00206885">
        <w:rPr>
          <w:rFonts w:ascii="Arial" w:eastAsia="Times New Roman" w:hAnsi="Arial" w:cs="Arial"/>
          <w:color w:val="252525"/>
          <w:sz w:val="19"/>
          <w:szCs w:val="19"/>
        </w:rPr>
        <w:t>abandoning an electronic records</w:t>
      </w:r>
      <w:r>
        <w:rPr>
          <w:rFonts w:ascii="Arial" w:eastAsia="Times New Roman" w:hAnsi="Arial" w:cs="Arial"/>
          <w:color w:val="252525"/>
          <w:sz w:val="19"/>
          <w:szCs w:val="19"/>
        </w:rPr>
        <w:t xml:space="preserve"> </w:t>
      </w:r>
      <w:r w:rsidR="00663045">
        <w:rPr>
          <w:rFonts w:ascii="Arial" w:eastAsia="Times New Roman" w:hAnsi="Arial" w:cs="Arial"/>
          <w:color w:val="252525"/>
          <w:sz w:val="19"/>
          <w:szCs w:val="19"/>
        </w:rPr>
        <w:t>i</w:t>
      </w:r>
      <w:r w:rsidR="00206885">
        <w:rPr>
          <w:rFonts w:ascii="Arial" w:eastAsia="Times New Roman" w:hAnsi="Arial" w:cs="Arial"/>
          <w:color w:val="252525"/>
          <w:sz w:val="19"/>
          <w:szCs w:val="19"/>
        </w:rPr>
        <w:t>mplementation</w:t>
      </w:r>
      <w:r>
        <w:rPr>
          <w:rFonts w:ascii="Arial" w:eastAsia="Times New Roman" w:hAnsi="Arial" w:cs="Arial"/>
          <w:color w:val="252525"/>
          <w:sz w:val="19"/>
          <w:szCs w:val="19"/>
        </w:rPr>
        <w:t xml:space="preserve"> at </w:t>
      </w:r>
      <w:r w:rsidR="0098454D" w:rsidRPr="0098454D">
        <w:rPr>
          <w:rFonts w:ascii="Arial" w:eastAsia="Times New Roman" w:hAnsi="Arial" w:cs="Arial"/>
          <w:color w:val="252525"/>
          <w:sz w:val="19"/>
          <w:szCs w:val="19"/>
        </w:rPr>
        <w:t>Girard Medical Center</w:t>
      </w:r>
      <w:r w:rsidR="00206885">
        <w:rPr>
          <w:rFonts w:ascii="Arial" w:eastAsia="Times New Roman" w:hAnsi="Arial" w:cs="Arial"/>
          <w:color w:val="252525"/>
          <w:sz w:val="19"/>
          <w:szCs w:val="19"/>
        </w:rPr>
        <w:t xml:space="preserve"> which resulted in a lawsuit</w:t>
      </w:r>
      <w:r w:rsidR="0075499E">
        <w:rPr>
          <w:rFonts w:ascii="Arial" w:eastAsia="Times New Roman" w:hAnsi="Arial" w:cs="Arial"/>
          <w:color w:val="252525"/>
          <w:sz w:val="19"/>
          <w:szCs w:val="19"/>
        </w:rPr>
        <w:t>,</w:t>
      </w:r>
      <w:r w:rsidR="00206885">
        <w:rPr>
          <w:rFonts w:ascii="Arial" w:eastAsia="Times New Roman" w:hAnsi="Arial" w:cs="Arial"/>
          <w:color w:val="252525"/>
          <w:sz w:val="19"/>
          <w:szCs w:val="19"/>
        </w:rPr>
        <w:t xml:space="preserve"> and problematic implementations at </w:t>
      </w:r>
      <w:r w:rsidR="0098454D" w:rsidRPr="00AA1C1B">
        <w:rPr>
          <w:rFonts w:ascii="Arial" w:eastAsia="Times New Roman" w:hAnsi="Arial" w:cs="Arial"/>
          <w:color w:val="252525"/>
          <w:sz w:val="19"/>
          <w:szCs w:val="19"/>
        </w:rPr>
        <w:t>Trinity Health</w:t>
      </w:r>
      <w:r>
        <w:rPr>
          <w:rFonts w:ascii="Arial" w:eastAsia="Times New Roman" w:hAnsi="Arial" w:cs="Arial"/>
          <w:color w:val="252525"/>
          <w:sz w:val="19"/>
          <w:szCs w:val="19"/>
        </w:rPr>
        <w:t xml:space="preserve"> and </w:t>
      </w:r>
      <w:r w:rsidR="0098454D" w:rsidRPr="00AA1C1B">
        <w:rPr>
          <w:rFonts w:ascii="Arial" w:eastAsia="Times New Roman" w:hAnsi="Arial" w:cs="Arial"/>
          <w:color w:val="252525"/>
          <w:sz w:val="19"/>
          <w:szCs w:val="19"/>
        </w:rPr>
        <w:t>Athens Regional Health System </w:t>
      </w:r>
      <w:r w:rsidR="0098454D" w:rsidRPr="0098454D">
        <w:rPr>
          <w:rFonts w:ascii="Arial" w:eastAsia="Times New Roman" w:hAnsi="Arial" w:cs="Arial"/>
          <w:color w:val="252525"/>
          <w:sz w:val="19"/>
          <w:szCs w:val="19"/>
        </w:rPr>
        <w:t>in Georgia</w:t>
      </w:r>
      <w:r w:rsidR="001A2F5F">
        <w:rPr>
          <w:rFonts w:ascii="Arial" w:eastAsia="Times New Roman" w:hAnsi="Arial" w:cs="Arial"/>
          <w:color w:val="252525"/>
          <w:sz w:val="19"/>
          <w:szCs w:val="19"/>
        </w:rPr>
        <w:t>, the latter of</w:t>
      </w:r>
      <w:r w:rsidR="0098454D" w:rsidRPr="0098454D">
        <w:rPr>
          <w:rFonts w:ascii="Arial" w:eastAsia="Times New Roman" w:hAnsi="Arial" w:cs="Arial"/>
          <w:color w:val="252525"/>
          <w:sz w:val="19"/>
          <w:szCs w:val="19"/>
        </w:rPr>
        <w:t xml:space="preserve"> </w:t>
      </w:r>
      <w:r>
        <w:rPr>
          <w:rFonts w:ascii="Arial" w:eastAsia="Times New Roman" w:hAnsi="Arial" w:cs="Arial"/>
          <w:color w:val="252525"/>
          <w:sz w:val="19"/>
          <w:szCs w:val="19"/>
        </w:rPr>
        <w:t>which was termed a “disaster”</w:t>
      </w:r>
      <w:r w:rsidR="0098454D" w:rsidRPr="0098454D">
        <w:rPr>
          <w:rFonts w:ascii="Arial" w:eastAsia="Times New Roman" w:hAnsi="Arial" w:cs="Arial"/>
          <w:color w:val="252525"/>
          <w:sz w:val="19"/>
          <w:szCs w:val="19"/>
        </w:rPr>
        <w:t xml:space="preserve"> leading to the forced departures of the CEO and the CIO of the health system.</w:t>
      </w:r>
    </w:p>
    <w:p w14:paraId="537DA37B" w14:textId="5D539032" w:rsidR="0098454D" w:rsidRPr="0098454D" w:rsidRDefault="0098454D" w:rsidP="0098454D">
      <w:pPr>
        <w:shd w:val="clear" w:color="auto" w:fill="FFFFFF"/>
        <w:spacing w:before="120" w:after="120" w:line="304" w:lineRule="atLeast"/>
        <w:rPr>
          <w:rFonts w:ascii="Arial" w:eastAsia="Times New Roman" w:hAnsi="Arial" w:cs="Arial"/>
          <w:color w:val="252525"/>
          <w:sz w:val="19"/>
          <w:szCs w:val="19"/>
        </w:rPr>
      </w:pPr>
      <w:r w:rsidRPr="0098454D">
        <w:rPr>
          <w:rFonts w:ascii="Arial" w:eastAsia="Times New Roman" w:hAnsi="Arial" w:cs="Arial"/>
          <w:color w:val="252525"/>
          <w:sz w:val="19"/>
          <w:szCs w:val="19"/>
        </w:rPr>
        <w:lastRenderedPageBreak/>
        <w:t>In 2016 the Nanaimo hospital ER began using the system. Physicians have called it a "huge failure" with it increasing some types of errors and slowing down the emergency department.</w:t>
      </w:r>
    </w:p>
    <w:p w14:paraId="15F5903C" w14:textId="77777777" w:rsidR="00730127" w:rsidRDefault="00730127"/>
    <w:p w14:paraId="08AB0C84" w14:textId="77777777" w:rsidR="001152CD" w:rsidRPr="001A2F5F" w:rsidRDefault="00E61D83">
      <w:pPr>
        <w:rPr>
          <w:rFonts w:ascii="Arial" w:hAnsi="Arial" w:cs="Arial"/>
        </w:rPr>
      </w:pPr>
      <w:r w:rsidRPr="001A2F5F">
        <w:rPr>
          <w:rFonts w:ascii="Arial" w:hAnsi="Arial" w:cs="Arial"/>
        </w:rPr>
        <w:t>Sources and additional reading</w:t>
      </w:r>
      <w:r w:rsidR="00663045" w:rsidRPr="001A2F5F">
        <w:rPr>
          <w:rFonts w:ascii="Arial" w:hAnsi="Arial" w:cs="Arial"/>
        </w:rPr>
        <w:t>:</w:t>
      </w:r>
    </w:p>
    <w:p w14:paraId="250BD8B4" w14:textId="77777777" w:rsidR="001152CD" w:rsidRPr="001A2F5F" w:rsidRDefault="001152CD" w:rsidP="001152CD">
      <w:pPr>
        <w:rPr>
          <w:rFonts w:ascii="Arial" w:hAnsi="Arial" w:cs="Arial"/>
          <w:sz w:val="18"/>
          <w:szCs w:val="18"/>
        </w:rPr>
      </w:pPr>
      <w:hyperlink r:id="rId13" w:history="1">
        <w:r w:rsidRPr="001A2F5F">
          <w:rPr>
            <w:rStyle w:val="Hyperlink"/>
            <w:rFonts w:ascii="Arial" w:hAnsi="Arial" w:cs="Arial"/>
            <w:sz w:val="18"/>
            <w:szCs w:val="18"/>
          </w:rPr>
          <w:t>http://www.cerner.com/</w:t>
        </w:r>
      </w:hyperlink>
    </w:p>
    <w:p w14:paraId="5285466F" w14:textId="77777777" w:rsidR="001152CD" w:rsidRPr="001A2F5F" w:rsidRDefault="001152CD">
      <w:pPr>
        <w:rPr>
          <w:rFonts w:ascii="Arial" w:hAnsi="Arial" w:cs="Arial"/>
          <w:sz w:val="18"/>
          <w:szCs w:val="18"/>
        </w:rPr>
      </w:pPr>
      <w:hyperlink r:id="rId14" w:history="1">
        <w:r w:rsidRPr="001A2F5F">
          <w:rPr>
            <w:rStyle w:val="Hyperlink"/>
            <w:rFonts w:ascii="Arial" w:hAnsi="Arial" w:cs="Arial"/>
            <w:sz w:val="18"/>
            <w:szCs w:val="18"/>
          </w:rPr>
          <w:t>http://www.klasresearch.com/</w:t>
        </w:r>
      </w:hyperlink>
    </w:p>
    <w:p w14:paraId="5DEBF061" w14:textId="77777777" w:rsidR="004C76AA" w:rsidRPr="001A2F5F" w:rsidRDefault="004C76AA">
      <w:pPr>
        <w:rPr>
          <w:rFonts w:ascii="Arial" w:hAnsi="Arial" w:cs="Arial"/>
          <w:sz w:val="18"/>
          <w:szCs w:val="18"/>
        </w:rPr>
      </w:pPr>
      <w:hyperlink r:id="rId15" w:history="1">
        <w:r w:rsidRPr="001A2F5F">
          <w:rPr>
            <w:rStyle w:val="Hyperlink"/>
            <w:rFonts w:ascii="Arial" w:hAnsi="Arial" w:cs="Arial"/>
            <w:sz w:val="18"/>
            <w:szCs w:val="18"/>
          </w:rPr>
          <w:t>https://www.peer60.com/wp-content/uploads/2015/01/Peer60-Report-Ambulatory-EHR-2015.pdf</w:t>
        </w:r>
      </w:hyperlink>
    </w:p>
    <w:p w14:paraId="3F71B432" w14:textId="77777777" w:rsidR="004C76AA" w:rsidRDefault="004C76AA"/>
    <w:sectPr w:rsidR="004C76AA" w:rsidSect="00730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A767" w14:textId="77777777" w:rsidR="00583095" w:rsidRDefault="00583095" w:rsidP="00434582">
      <w:pPr>
        <w:spacing w:after="0" w:line="240" w:lineRule="auto"/>
      </w:pPr>
      <w:r>
        <w:separator/>
      </w:r>
    </w:p>
  </w:endnote>
  <w:endnote w:type="continuationSeparator" w:id="0">
    <w:p w14:paraId="7237CAA5" w14:textId="77777777" w:rsidR="00583095" w:rsidRDefault="00583095" w:rsidP="0043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61B0" w14:textId="77777777" w:rsidR="00583095" w:rsidRDefault="00583095" w:rsidP="00434582">
      <w:pPr>
        <w:spacing w:after="0" w:line="240" w:lineRule="auto"/>
      </w:pPr>
      <w:r>
        <w:separator/>
      </w:r>
    </w:p>
  </w:footnote>
  <w:footnote w:type="continuationSeparator" w:id="0">
    <w:p w14:paraId="64FEBDF8" w14:textId="77777777" w:rsidR="00583095" w:rsidRDefault="00583095" w:rsidP="00434582">
      <w:pPr>
        <w:spacing w:after="0" w:line="240" w:lineRule="auto"/>
      </w:pPr>
      <w:r>
        <w:continuationSeparator/>
      </w:r>
    </w:p>
  </w:footnote>
  <w:footnote w:id="1">
    <w:p w14:paraId="66F51454" w14:textId="77777777" w:rsidR="00663045" w:rsidRPr="00663045" w:rsidRDefault="00434582">
      <w:pPr>
        <w:pStyle w:val="FootnoteText"/>
        <w:rPr>
          <w:rFonts w:ascii="Arial" w:hAnsi="Arial" w:cs="Arial"/>
          <w:sz w:val="18"/>
          <w:szCs w:val="18"/>
        </w:rPr>
      </w:pPr>
      <w:r>
        <w:rPr>
          <w:rStyle w:val="FootnoteReference"/>
        </w:rPr>
        <w:footnoteRef/>
      </w:r>
      <w:r>
        <w:t xml:space="preserve"> </w:t>
      </w:r>
      <w:r w:rsidR="00663045" w:rsidRPr="00663045">
        <w:rPr>
          <w:rFonts w:ascii="Arial" w:hAnsi="Arial" w:cs="Arial"/>
          <w:color w:val="7F7F7F" w:themeColor="text1" w:themeTint="80"/>
          <w:sz w:val="18"/>
          <w:szCs w:val="18"/>
        </w:rPr>
        <w:t>“Trends &amp; Insights in Ambulatory EHR: First Reaction Report” peer60.com.</w:t>
      </w:r>
      <w:r w:rsidR="00663045" w:rsidRPr="00663045">
        <w:rPr>
          <w:rFonts w:ascii="Arial" w:hAnsi="Arial" w:cs="Arial"/>
          <w:sz w:val="18"/>
          <w:szCs w:val="18"/>
        </w:rPr>
        <w:t xml:space="preserve"> </w:t>
      </w:r>
    </w:p>
    <w:p w14:paraId="6319B57A" w14:textId="77777777" w:rsidR="00434582" w:rsidRPr="00663045" w:rsidRDefault="00E376FC">
      <w:pPr>
        <w:pStyle w:val="FootnoteText"/>
        <w:rPr>
          <w:rFonts w:ascii="Arial" w:hAnsi="Arial" w:cs="Arial"/>
          <w:color w:val="7F7F7F" w:themeColor="text1" w:themeTint="80"/>
          <w:sz w:val="18"/>
          <w:szCs w:val="18"/>
        </w:rPr>
      </w:pPr>
      <w:hyperlink r:id="rId1" w:history="1">
        <w:r w:rsidRPr="00663045">
          <w:rPr>
            <w:rStyle w:val="Hyperlink"/>
            <w:rFonts w:ascii="Arial" w:hAnsi="Arial" w:cs="Arial"/>
            <w:sz w:val="18"/>
            <w:szCs w:val="18"/>
          </w:rPr>
          <w:t>https://www.peer60.com/wp-content/uploads/2015/01/Peer60-Report-Ambulatory-EHR-2015.pdf</w:t>
        </w:r>
      </w:hyperlink>
      <w:r w:rsidR="00663045">
        <w:t xml:space="preserve"> </w:t>
      </w:r>
      <w:r w:rsidR="00663045" w:rsidRPr="00663045">
        <w:rPr>
          <w:rFonts w:ascii="Arial" w:hAnsi="Arial" w:cs="Arial"/>
          <w:color w:val="7F7F7F" w:themeColor="text1" w:themeTint="80"/>
          <w:sz w:val="18"/>
          <w:szCs w:val="18"/>
        </w:rPr>
        <w:t>(accessed June 13, 2016)</w:t>
      </w:r>
    </w:p>
  </w:footnote>
  <w:footnote w:id="2">
    <w:p w14:paraId="6C53F6CA" w14:textId="77777777" w:rsidR="000D4A8B" w:rsidRPr="00663045" w:rsidRDefault="000D4A8B">
      <w:pPr>
        <w:pStyle w:val="FootnoteText"/>
        <w:rPr>
          <w:rFonts w:ascii="Arial" w:hAnsi="Arial" w:cs="Arial"/>
          <w:color w:val="7F7F7F" w:themeColor="text1" w:themeTint="80"/>
          <w:sz w:val="18"/>
          <w:szCs w:val="18"/>
        </w:rPr>
      </w:pPr>
      <w:r>
        <w:rPr>
          <w:rStyle w:val="FootnoteReference"/>
        </w:rPr>
        <w:footnoteRef/>
      </w:r>
      <w:r>
        <w:t xml:space="preserve"> </w:t>
      </w:r>
      <w:r w:rsidR="00663045" w:rsidRPr="00663045">
        <w:rPr>
          <w:rFonts w:ascii="Arial" w:hAnsi="Arial" w:cs="Arial"/>
          <w:color w:val="7F7F7F" w:themeColor="text1" w:themeTint="80"/>
          <w:sz w:val="18"/>
          <w:szCs w:val="18"/>
        </w:rPr>
        <w:t>“Interoperability 2015: Are We Lifting Together” KLAS.com</w:t>
      </w:r>
      <w:r w:rsidR="00663045">
        <w:t xml:space="preserve"> </w:t>
      </w:r>
      <w:hyperlink r:id="rId2" w:history="1">
        <w:r w:rsidR="00663045" w:rsidRPr="00663045">
          <w:rPr>
            <w:rStyle w:val="Hyperlink"/>
            <w:rFonts w:ascii="Arial" w:hAnsi="Arial" w:cs="Arial"/>
            <w:sz w:val="18"/>
            <w:szCs w:val="18"/>
          </w:rPr>
          <w:t>https://s3.amazonaws.com/assets.fiercemarkets.net/public/004-healthcare/external/KLAS+EMR+Interoperability+Summary+(1).pdf</w:t>
        </w:r>
      </w:hyperlink>
      <w:r w:rsidR="00663045">
        <w:t xml:space="preserve"> </w:t>
      </w:r>
      <w:r w:rsidR="00663045" w:rsidRPr="00663045">
        <w:rPr>
          <w:rFonts w:ascii="Arial" w:hAnsi="Arial" w:cs="Arial"/>
          <w:color w:val="7F7F7F" w:themeColor="text1" w:themeTint="80"/>
          <w:sz w:val="18"/>
          <w:szCs w:val="18"/>
        </w:rPr>
        <w:t>(accessed June 13, 2016)</w:t>
      </w:r>
    </w:p>
    <w:p w14:paraId="6C2F8BAE" w14:textId="77777777" w:rsidR="00663045" w:rsidRDefault="006630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32D2"/>
    <w:multiLevelType w:val="multilevel"/>
    <w:tmpl w:val="CC06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60569"/>
    <w:multiLevelType w:val="multilevel"/>
    <w:tmpl w:val="04C6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66CF8"/>
    <w:multiLevelType w:val="multilevel"/>
    <w:tmpl w:val="5B5C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E14F0"/>
    <w:multiLevelType w:val="multilevel"/>
    <w:tmpl w:val="E08C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748848">
    <w:abstractNumId w:val="1"/>
  </w:num>
  <w:num w:numId="2" w16cid:durableId="27025427">
    <w:abstractNumId w:val="0"/>
  </w:num>
  <w:num w:numId="3" w16cid:durableId="1075082437">
    <w:abstractNumId w:val="2"/>
  </w:num>
  <w:num w:numId="4" w16cid:durableId="637806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454D"/>
    <w:rsid w:val="000D4A8B"/>
    <w:rsid w:val="001152CD"/>
    <w:rsid w:val="00196683"/>
    <w:rsid w:val="001A2F5F"/>
    <w:rsid w:val="00206885"/>
    <w:rsid w:val="00257DA8"/>
    <w:rsid w:val="002917B0"/>
    <w:rsid w:val="00352A3A"/>
    <w:rsid w:val="00434582"/>
    <w:rsid w:val="004852E9"/>
    <w:rsid w:val="004C76AA"/>
    <w:rsid w:val="00583095"/>
    <w:rsid w:val="005E038A"/>
    <w:rsid w:val="00641B2F"/>
    <w:rsid w:val="00663045"/>
    <w:rsid w:val="00730127"/>
    <w:rsid w:val="0075499E"/>
    <w:rsid w:val="0098454D"/>
    <w:rsid w:val="009B2ACC"/>
    <w:rsid w:val="00AA1C1B"/>
    <w:rsid w:val="00AA7A66"/>
    <w:rsid w:val="00BA5A04"/>
    <w:rsid w:val="00BA61D4"/>
    <w:rsid w:val="00BD2928"/>
    <w:rsid w:val="00BF2CC3"/>
    <w:rsid w:val="00D2443F"/>
    <w:rsid w:val="00D303B7"/>
    <w:rsid w:val="00D86DAF"/>
    <w:rsid w:val="00E376FC"/>
    <w:rsid w:val="00E61D83"/>
    <w:rsid w:val="00F0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96B9"/>
  <w15:docId w15:val="{2044E809-2327-48A5-B7E2-A7332C55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27"/>
  </w:style>
  <w:style w:type="paragraph" w:styleId="Heading2">
    <w:name w:val="heading 2"/>
    <w:basedOn w:val="Normal"/>
    <w:link w:val="Heading2Char"/>
    <w:uiPriority w:val="9"/>
    <w:qFormat/>
    <w:rsid w:val="009845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5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4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454D"/>
  </w:style>
  <w:style w:type="character" w:styleId="Hyperlink">
    <w:name w:val="Hyperlink"/>
    <w:basedOn w:val="DefaultParagraphFont"/>
    <w:uiPriority w:val="99"/>
    <w:unhideWhenUsed/>
    <w:rsid w:val="0098454D"/>
    <w:rPr>
      <w:color w:val="0000FF"/>
      <w:u w:val="single"/>
    </w:rPr>
  </w:style>
  <w:style w:type="character" w:customStyle="1" w:styleId="toctoggle">
    <w:name w:val="toctoggle"/>
    <w:basedOn w:val="DefaultParagraphFont"/>
    <w:rsid w:val="0098454D"/>
  </w:style>
  <w:style w:type="character" w:customStyle="1" w:styleId="tocnumber">
    <w:name w:val="tocnumber"/>
    <w:basedOn w:val="DefaultParagraphFont"/>
    <w:rsid w:val="0098454D"/>
  </w:style>
  <w:style w:type="character" w:customStyle="1" w:styleId="toctext">
    <w:name w:val="toctext"/>
    <w:basedOn w:val="DefaultParagraphFont"/>
    <w:rsid w:val="0098454D"/>
  </w:style>
  <w:style w:type="character" w:customStyle="1" w:styleId="mw-headline">
    <w:name w:val="mw-headline"/>
    <w:basedOn w:val="DefaultParagraphFont"/>
    <w:rsid w:val="0098454D"/>
  </w:style>
  <w:style w:type="character" w:customStyle="1" w:styleId="mw-editsection">
    <w:name w:val="mw-editsection"/>
    <w:basedOn w:val="DefaultParagraphFont"/>
    <w:rsid w:val="0098454D"/>
  </w:style>
  <w:style w:type="character" w:customStyle="1" w:styleId="mw-editsection-bracket">
    <w:name w:val="mw-editsection-bracket"/>
    <w:basedOn w:val="DefaultParagraphFont"/>
    <w:rsid w:val="0098454D"/>
  </w:style>
  <w:style w:type="paragraph" w:styleId="BalloonText">
    <w:name w:val="Balloon Text"/>
    <w:basedOn w:val="Normal"/>
    <w:link w:val="BalloonTextChar"/>
    <w:uiPriority w:val="99"/>
    <w:semiHidden/>
    <w:unhideWhenUsed/>
    <w:rsid w:val="0098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54D"/>
    <w:rPr>
      <w:rFonts w:ascii="Tahoma" w:hAnsi="Tahoma" w:cs="Tahoma"/>
      <w:sz w:val="16"/>
      <w:szCs w:val="16"/>
    </w:rPr>
  </w:style>
  <w:style w:type="paragraph" w:styleId="FootnoteText">
    <w:name w:val="footnote text"/>
    <w:basedOn w:val="Normal"/>
    <w:link w:val="FootnoteTextChar"/>
    <w:uiPriority w:val="99"/>
    <w:semiHidden/>
    <w:unhideWhenUsed/>
    <w:rsid w:val="00434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582"/>
    <w:rPr>
      <w:sz w:val="20"/>
      <w:szCs w:val="20"/>
    </w:rPr>
  </w:style>
  <w:style w:type="character" w:styleId="FootnoteReference">
    <w:name w:val="footnote reference"/>
    <w:basedOn w:val="DefaultParagraphFont"/>
    <w:uiPriority w:val="99"/>
    <w:semiHidden/>
    <w:unhideWhenUsed/>
    <w:rsid w:val="00434582"/>
    <w:rPr>
      <w:vertAlign w:val="superscript"/>
    </w:rPr>
  </w:style>
  <w:style w:type="character" w:styleId="FollowedHyperlink">
    <w:name w:val="FollowedHyperlink"/>
    <w:basedOn w:val="DefaultParagraphFont"/>
    <w:uiPriority w:val="99"/>
    <w:semiHidden/>
    <w:unhideWhenUsed/>
    <w:rsid w:val="006630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8193">
      <w:bodyDiv w:val="1"/>
      <w:marLeft w:val="0"/>
      <w:marRight w:val="0"/>
      <w:marTop w:val="0"/>
      <w:marBottom w:val="0"/>
      <w:divBdr>
        <w:top w:val="none" w:sz="0" w:space="0" w:color="auto"/>
        <w:left w:val="none" w:sz="0" w:space="0" w:color="auto"/>
        <w:bottom w:val="none" w:sz="0" w:space="0" w:color="auto"/>
        <w:right w:val="none" w:sz="0" w:space="0" w:color="auto"/>
      </w:divBdr>
      <w:divsChild>
        <w:div w:id="253051362">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271321186">
      <w:bodyDiv w:val="1"/>
      <w:marLeft w:val="0"/>
      <w:marRight w:val="0"/>
      <w:marTop w:val="0"/>
      <w:marBottom w:val="0"/>
      <w:divBdr>
        <w:top w:val="none" w:sz="0" w:space="0" w:color="auto"/>
        <w:left w:val="none" w:sz="0" w:space="0" w:color="auto"/>
        <w:bottom w:val="none" w:sz="0" w:space="0" w:color="auto"/>
        <w:right w:val="none" w:sz="0" w:space="0" w:color="auto"/>
      </w:divBdr>
      <w:divsChild>
        <w:div w:id="1415056453">
          <w:marLeft w:val="0"/>
          <w:marRight w:val="0"/>
          <w:marTop w:val="0"/>
          <w:marBottom w:val="0"/>
          <w:divBdr>
            <w:top w:val="none" w:sz="0" w:space="0" w:color="auto"/>
            <w:left w:val="none" w:sz="0" w:space="0" w:color="auto"/>
            <w:bottom w:val="none" w:sz="0" w:space="0" w:color="auto"/>
            <w:right w:val="none" w:sz="0" w:space="0" w:color="auto"/>
          </w:divBdr>
        </w:div>
        <w:div w:id="1365792853">
          <w:marLeft w:val="0"/>
          <w:marRight w:val="0"/>
          <w:marTop w:val="0"/>
          <w:marBottom w:val="0"/>
          <w:divBdr>
            <w:top w:val="none" w:sz="0" w:space="0" w:color="auto"/>
            <w:left w:val="none" w:sz="0" w:space="0" w:color="auto"/>
            <w:bottom w:val="none" w:sz="0" w:space="0" w:color="auto"/>
            <w:right w:val="none" w:sz="0" w:space="0" w:color="auto"/>
          </w:divBdr>
        </w:div>
        <w:div w:id="107119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r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rner.com/solutions/Hospitals_and_Health_Systems/Workforce_Manag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peer60.com/wp-content/uploads/2015/01/Peer60-Report-Ambulatory-EHR-2015.pd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lasresearch.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3.amazonaws.com/assets.fiercemarkets.net/public/004-healthcare/external/KLAS+EMR+Interoperability+Summary+(1).pdf" TargetMode="External"/><Relationship Id="rId1" Type="http://schemas.openxmlformats.org/officeDocument/2006/relationships/hyperlink" Target="https://www.peer60.com/wp-content/uploads/2015/01/Peer60-Report-Ambulatory-EHR-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475A4-F50C-4A86-8E37-6809D393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3</Pages>
  <Words>390</Words>
  <Characters>2233</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McKesson Corporation</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Billeaud</dc:creator>
  <cp:lastModifiedBy>Rob Billeaud</cp:lastModifiedBy>
  <cp:revision>5</cp:revision>
  <dcterms:created xsi:type="dcterms:W3CDTF">2016-06-14T15:37:00Z</dcterms:created>
  <dcterms:modified xsi:type="dcterms:W3CDTF">2026-02-13T16:04:00Z</dcterms:modified>
</cp:coreProperties>
</file>